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January 9, 2014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  <w:bookmarkStart w:id="0" w:name="_GoBack"/>
      <w:bookmarkEnd w:id="0"/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2F58CA" w:rsidRPr="00B160CB" w:rsidRDefault="002F58CA" w:rsidP="002F58C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60CB">
        <w:rPr>
          <w:sz w:val="24"/>
          <w:szCs w:val="24"/>
        </w:rPr>
        <w:t>Freedom of Information Act (FOIA) Compliance</w:t>
      </w:r>
    </w:p>
    <w:p w:rsidR="002F58CA" w:rsidRPr="00B160CB" w:rsidRDefault="002F58CA" w:rsidP="002F58C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60CB">
        <w:rPr>
          <w:sz w:val="24"/>
          <w:szCs w:val="24"/>
        </w:rPr>
        <w:t>Analysis of Impediments</w:t>
      </w:r>
    </w:p>
    <w:p w:rsidR="002F58CA" w:rsidRPr="00B160CB" w:rsidRDefault="002F58CA" w:rsidP="002F58C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60CB">
        <w:rPr>
          <w:sz w:val="24"/>
          <w:szCs w:val="24"/>
        </w:rPr>
        <w:t>Commissioner Appointments and Reappointments</w:t>
      </w:r>
    </w:p>
    <w:p w:rsidR="002F58CA" w:rsidRPr="00B160CB" w:rsidRDefault="002F58CA" w:rsidP="002F58C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60CB">
        <w:rPr>
          <w:sz w:val="24"/>
          <w:szCs w:val="24"/>
        </w:rPr>
        <w:t>Sub Committee Strategies for 2014</w:t>
      </w:r>
    </w:p>
    <w:p w:rsidR="002F58CA" w:rsidRPr="00B160CB" w:rsidRDefault="002F58CA" w:rsidP="002F58C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60CB">
        <w:rPr>
          <w:sz w:val="24"/>
          <w:szCs w:val="24"/>
        </w:rPr>
        <w:t>Motion for Dismissal Proceedings</w:t>
      </w:r>
    </w:p>
    <w:p w:rsidR="002F58CA" w:rsidRPr="00B160CB" w:rsidRDefault="002F58CA" w:rsidP="002F58C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60CB">
        <w:rPr>
          <w:sz w:val="24"/>
          <w:szCs w:val="24"/>
        </w:rPr>
        <w:t>Human Relations Awareness Month</w:t>
      </w:r>
    </w:p>
    <w:p w:rsidR="002F58CA" w:rsidRPr="00B160CB" w:rsidRDefault="002F58CA" w:rsidP="002F58C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60CB">
        <w:rPr>
          <w:sz w:val="24"/>
          <w:szCs w:val="24"/>
        </w:rPr>
        <w:t>Black History Month</w:t>
      </w:r>
    </w:p>
    <w:p w:rsidR="002F58CA" w:rsidRPr="00B160CB" w:rsidRDefault="002F58CA" w:rsidP="002F58CA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60CB">
        <w:rPr>
          <w:sz w:val="24"/>
          <w:szCs w:val="24"/>
        </w:rPr>
        <w:t>Fair Housing Conference</w:t>
      </w:r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6C2204" w:rsidRPr="00B160CB" w:rsidRDefault="006C2204" w:rsidP="00B160CB">
      <w:pPr>
        <w:pStyle w:val="ListParagraph"/>
        <w:numPr>
          <w:ilvl w:val="2"/>
          <w:numId w:val="12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Public Awareness Committee</w:t>
      </w:r>
    </w:p>
    <w:p w:rsidR="006C2204" w:rsidRPr="00B160CB" w:rsidRDefault="006C2204" w:rsidP="00B160CB">
      <w:pPr>
        <w:pStyle w:val="ListParagraph"/>
        <w:numPr>
          <w:ilvl w:val="2"/>
          <w:numId w:val="12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Legislative Committee</w:t>
      </w:r>
    </w:p>
    <w:p w:rsidR="00B160CB" w:rsidRPr="00B160CB" w:rsidRDefault="006C2204" w:rsidP="00B160CB">
      <w:pPr>
        <w:pStyle w:val="ListParagraph"/>
        <w:numPr>
          <w:ilvl w:val="2"/>
          <w:numId w:val="12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Community Response Committee</w:t>
      </w:r>
    </w:p>
    <w:p w:rsidR="006C2204" w:rsidRPr="00B160CB" w:rsidRDefault="006C2204" w:rsidP="00B160CB">
      <w:pPr>
        <w:pStyle w:val="ListParagraph"/>
        <w:numPr>
          <w:ilvl w:val="2"/>
          <w:numId w:val="12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Governor’s Council on Equal Employment Opportunity Committee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2E71DC" w:rsidRPr="00584565" w:rsidRDefault="00B160CB" w:rsidP="00584565"/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3"/>
    </w:lvlOverride>
  </w:num>
  <w:num w:numId="3">
    <w:abstractNumId w:val="2"/>
  </w:num>
  <w:num w:numId="4">
    <w:abstractNumId w:val="5"/>
  </w:num>
  <w:num w:numId="5">
    <w:abstractNumId w:val="0"/>
    <w:lvlOverride w:ilvl="0">
      <w:startOverride w:val="8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2F58CA"/>
    <w:rsid w:val="00576B34"/>
    <w:rsid w:val="00584565"/>
    <w:rsid w:val="006C2204"/>
    <w:rsid w:val="00AD0635"/>
    <w:rsid w:val="00B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4</cp:revision>
  <dcterms:created xsi:type="dcterms:W3CDTF">2013-12-02T14:59:00Z</dcterms:created>
  <dcterms:modified xsi:type="dcterms:W3CDTF">2013-12-23T17:26:00Z</dcterms:modified>
</cp:coreProperties>
</file>