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4B" w:rsidRPr="007D46E4" w:rsidRDefault="0037194B" w:rsidP="0037194B">
      <w:pPr>
        <w:pStyle w:val="NoSpacing"/>
        <w:jc w:val="center"/>
        <w:rPr>
          <w:b/>
          <w:sz w:val="32"/>
          <w:szCs w:val="32"/>
        </w:rPr>
      </w:pPr>
      <w:r w:rsidRPr="007D46E4">
        <w:rPr>
          <w:b/>
          <w:sz w:val="32"/>
          <w:szCs w:val="32"/>
        </w:rPr>
        <w:t>STATE HUMAN RELATIONS COMMISSION</w:t>
      </w:r>
    </w:p>
    <w:p w:rsidR="0037194B" w:rsidRDefault="0037194B" w:rsidP="0037194B">
      <w:pPr>
        <w:pStyle w:val="NoSpacing"/>
        <w:jc w:val="center"/>
        <w:rPr>
          <w:b/>
          <w:sz w:val="28"/>
          <w:lang w:val="pt-BR"/>
        </w:rPr>
      </w:pPr>
      <w:r w:rsidRPr="007D46E4">
        <w:rPr>
          <w:b/>
          <w:bCs/>
          <w:sz w:val="32"/>
          <w:szCs w:val="32"/>
        </w:rPr>
        <w:t>FULL</w:t>
      </w:r>
      <w:r w:rsidRPr="007D46E4">
        <w:rPr>
          <w:b/>
          <w:bCs/>
          <w:spacing w:val="2"/>
          <w:sz w:val="32"/>
          <w:szCs w:val="32"/>
        </w:rPr>
        <w:t xml:space="preserve"> </w:t>
      </w:r>
      <w:r w:rsidRPr="007D46E4">
        <w:rPr>
          <w:b/>
          <w:bCs/>
          <w:sz w:val="32"/>
          <w:szCs w:val="32"/>
        </w:rPr>
        <w:t>COM</w:t>
      </w:r>
      <w:r w:rsidRPr="007D46E4">
        <w:rPr>
          <w:b/>
          <w:bCs/>
          <w:spacing w:val="1"/>
          <w:sz w:val="32"/>
          <w:szCs w:val="32"/>
        </w:rPr>
        <w:t>M</w:t>
      </w:r>
      <w:r w:rsidRPr="007D46E4">
        <w:rPr>
          <w:b/>
          <w:bCs/>
          <w:spacing w:val="-3"/>
          <w:sz w:val="32"/>
          <w:szCs w:val="32"/>
        </w:rPr>
        <w:t>I</w:t>
      </w:r>
      <w:r w:rsidRPr="007D46E4">
        <w:rPr>
          <w:b/>
          <w:bCs/>
          <w:sz w:val="32"/>
          <w:szCs w:val="32"/>
        </w:rPr>
        <w:t xml:space="preserve">TTEE </w:t>
      </w:r>
      <w:r w:rsidRPr="007D46E4">
        <w:rPr>
          <w:b/>
          <w:bCs/>
          <w:spacing w:val="1"/>
          <w:sz w:val="32"/>
          <w:szCs w:val="32"/>
        </w:rPr>
        <w:t>M</w:t>
      </w:r>
      <w:r w:rsidRPr="007D46E4">
        <w:rPr>
          <w:b/>
          <w:bCs/>
          <w:sz w:val="32"/>
          <w:szCs w:val="32"/>
        </w:rPr>
        <w:t>EET</w:t>
      </w:r>
      <w:r w:rsidRPr="007D46E4">
        <w:rPr>
          <w:b/>
          <w:bCs/>
          <w:spacing w:val="-1"/>
          <w:sz w:val="32"/>
          <w:szCs w:val="32"/>
        </w:rPr>
        <w:t>I</w:t>
      </w:r>
      <w:r w:rsidRPr="007D46E4">
        <w:rPr>
          <w:b/>
          <w:bCs/>
          <w:sz w:val="32"/>
          <w:szCs w:val="32"/>
        </w:rPr>
        <w:t>NG</w:t>
      </w:r>
    </w:p>
    <w:p w:rsidR="0037194B" w:rsidRDefault="0037194B" w:rsidP="0037194B">
      <w:pPr>
        <w:pStyle w:val="NoSpacing"/>
        <w:jc w:val="center"/>
        <w:rPr>
          <w:sz w:val="24"/>
          <w:szCs w:val="24"/>
          <w:lang w:val="pt-BR"/>
        </w:rPr>
      </w:pPr>
      <w:r w:rsidRPr="004F427E">
        <w:rPr>
          <w:sz w:val="24"/>
          <w:szCs w:val="24"/>
          <w:lang w:val="pt-BR"/>
        </w:rPr>
        <w:t>M E E T I N G  A G E N D A</w:t>
      </w:r>
    </w:p>
    <w:p w:rsidR="0037194B" w:rsidRPr="004F427E" w:rsidRDefault="0037194B" w:rsidP="0037194B">
      <w:pPr>
        <w:pStyle w:val="NoSpacing"/>
        <w:jc w:val="center"/>
        <w:rPr>
          <w:sz w:val="24"/>
          <w:szCs w:val="24"/>
        </w:rPr>
      </w:pPr>
      <w:proofErr w:type="gramStart"/>
      <w:r w:rsidRPr="004F427E">
        <w:rPr>
          <w:sz w:val="24"/>
          <w:szCs w:val="24"/>
        </w:rPr>
        <w:t>May 8, 2014 at 7:00 P.M.</w:t>
      </w:r>
      <w:proofErr w:type="gramEnd"/>
    </w:p>
    <w:p w:rsidR="00584565" w:rsidRPr="007D46E4" w:rsidRDefault="00584565" w:rsidP="00584565">
      <w:pPr>
        <w:spacing w:line="361" w:lineRule="exact"/>
        <w:ind w:left="1069" w:right="1235"/>
        <w:jc w:val="center"/>
        <w:rPr>
          <w:sz w:val="23"/>
          <w:szCs w:val="23"/>
        </w:rPr>
      </w:pPr>
      <w:bookmarkStart w:id="0" w:name="_GoBack"/>
      <w:bookmarkEnd w:id="0"/>
      <w:r w:rsidRPr="007D46E4">
        <w:rPr>
          <w:b/>
          <w:bCs/>
          <w:position w:val="-1"/>
          <w:sz w:val="23"/>
          <w:szCs w:val="23"/>
          <w:u w:val="thick" w:color="000000"/>
        </w:rPr>
        <w:t>Vide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o</w:t>
      </w:r>
      <w:r w:rsidRPr="007D46E4">
        <w:rPr>
          <w:b/>
          <w:bCs/>
          <w:spacing w:val="-1"/>
          <w:position w:val="-1"/>
          <w:sz w:val="23"/>
          <w:szCs w:val="23"/>
          <w:u w:val="thick" w:color="000000"/>
        </w:rPr>
        <w:t>-</w:t>
      </w:r>
      <w:r w:rsidRPr="007D46E4">
        <w:rPr>
          <w:b/>
          <w:bCs/>
          <w:position w:val="-1"/>
          <w:sz w:val="23"/>
          <w:szCs w:val="23"/>
          <w:u w:val="thick" w:color="000000"/>
        </w:rPr>
        <w:t>C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o</w:t>
      </w:r>
      <w:r w:rsidRPr="007D46E4">
        <w:rPr>
          <w:b/>
          <w:bCs/>
          <w:position w:val="-1"/>
          <w:sz w:val="23"/>
          <w:szCs w:val="23"/>
          <w:u w:val="thick" w:color="000000"/>
        </w:rPr>
        <w:t>nf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e</w:t>
      </w:r>
      <w:r w:rsidRPr="007D46E4">
        <w:rPr>
          <w:b/>
          <w:bCs/>
          <w:position w:val="-1"/>
          <w:sz w:val="23"/>
          <w:szCs w:val="23"/>
          <w:u w:val="thick" w:color="000000"/>
        </w:rPr>
        <w:t>renc</w:t>
      </w:r>
      <w:r w:rsidRPr="007D46E4">
        <w:rPr>
          <w:b/>
          <w:bCs/>
          <w:spacing w:val="2"/>
          <w:position w:val="-1"/>
          <w:sz w:val="23"/>
          <w:szCs w:val="23"/>
          <w:u w:val="thick" w:color="000000"/>
        </w:rPr>
        <w:t>i</w:t>
      </w:r>
      <w:r w:rsidRPr="007D46E4">
        <w:rPr>
          <w:b/>
          <w:bCs/>
          <w:position w:val="-1"/>
          <w:sz w:val="23"/>
          <w:szCs w:val="23"/>
          <w:u w:val="thick" w:color="000000"/>
        </w:rPr>
        <w:t>ng</w:t>
      </w:r>
      <w:r w:rsidRPr="007D46E4">
        <w:rPr>
          <w:b/>
          <w:bCs/>
          <w:spacing w:val="-30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spacing w:val="4"/>
          <w:position w:val="-1"/>
          <w:sz w:val="23"/>
          <w:szCs w:val="23"/>
          <w:u w:val="thick" w:color="000000"/>
        </w:rPr>
        <w:t>w</w:t>
      </w:r>
      <w:r w:rsidRPr="007D46E4">
        <w:rPr>
          <w:b/>
          <w:bCs/>
          <w:position w:val="-1"/>
          <w:sz w:val="23"/>
          <w:szCs w:val="23"/>
          <w:u w:val="thick" w:color="000000"/>
        </w:rPr>
        <w:t>ill</w:t>
      </w:r>
      <w:r w:rsidRPr="007D46E4">
        <w:rPr>
          <w:b/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be</w:t>
      </w:r>
      <w:r w:rsidRPr="007D46E4">
        <w:rPr>
          <w:b/>
          <w:bCs/>
          <w:spacing w:val="-5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held</w:t>
      </w:r>
      <w:r w:rsidRPr="007D46E4">
        <w:rPr>
          <w:b/>
          <w:bCs/>
          <w:spacing w:val="-5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at</w:t>
      </w:r>
      <w:r w:rsidRPr="007D46E4">
        <w:rPr>
          <w:b/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e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a</w:t>
      </w:r>
      <w:r w:rsidRPr="007D46E4">
        <w:rPr>
          <w:b/>
          <w:bCs/>
          <w:position w:val="-1"/>
          <w:sz w:val="23"/>
          <w:szCs w:val="23"/>
          <w:u w:val="thick" w:color="000000"/>
        </w:rPr>
        <w:t>ch</w:t>
      </w:r>
      <w:r w:rsidRPr="007D46E4">
        <w:rPr>
          <w:b/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w w:val="99"/>
          <w:position w:val="-1"/>
          <w:sz w:val="23"/>
          <w:szCs w:val="23"/>
          <w:u w:val="thick" w:color="000000"/>
        </w:rPr>
        <w:t>loc</w:t>
      </w:r>
      <w:r w:rsidRPr="007D46E4">
        <w:rPr>
          <w:b/>
          <w:bCs/>
          <w:spacing w:val="1"/>
          <w:w w:val="99"/>
          <w:position w:val="-1"/>
          <w:sz w:val="23"/>
          <w:szCs w:val="23"/>
          <w:u w:val="thick" w:color="000000"/>
        </w:rPr>
        <w:t>a</w:t>
      </w:r>
      <w:r w:rsidRPr="007D46E4">
        <w:rPr>
          <w:b/>
          <w:bCs/>
          <w:w w:val="99"/>
          <w:position w:val="-1"/>
          <w:sz w:val="23"/>
          <w:szCs w:val="23"/>
          <w:u w:val="thick" w:color="000000"/>
        </w:rPr>
        <w:t>tion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861 Silver Lake Blvd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Carvel State Office Building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Cannon Building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820 N. French Street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Dover, Delaware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Wilmington, Delaware</w:t>
      </w:r>
    </w:p>
    <w:p w:rsidR="00584565" w:rsidRPr="007D46E4" w:rsidRDefault="00584565" w:rsidP="00584565">
      <w:pPr>
        <w:spacing w:line="361" w:lineRule="exact"/>
        <w:ind w:left="5040" w:right="1235" w:hanging="3971"/>
        <w:rPr>
          <w:sz w:val="23"/>
          <w:szCs w:val="23"/>
        </w:rPr>
      </w:pPr>
      <w:r w:rsidRPr="007D46E4">
        <w:rPr>
          <w:sz w:val="23"/>
          <w:szCs w:val="23"/>
        </w:rPr>
        <w:t xml:space="preserve">(Conference Room </w:t>
      </w:r>
      <w:proofErr w:type="gramStart"/>
      <w:r w:rsidRPr="007D46E4">
        <w:rPr>
          <w:sz w:val="23"/>
          <w:szCs w:val="23"/>
        </w:rPr>
        <w:t>A</w:t>
      </w:r>
      <w:proofErr w:type="gramEnd"/>
      <w:r w:rsidRPr="007D46E4">
        <w:rPr>
          <w:sz w:val="23"/>
          <w:szCs w:val="23"/>
        </w:rPr>
        <w:t>, 2</w:t>
      </w:r>
      <w:r w:rsidRPr="007D46E4">
        <w:rPr>
          <w:sz w:val="23"/>
          <w:szCs w:val="23"/>
          <w:vertAlign w:val="superscript"/>
        </w:rPr>
        <w:t>nd</w:t>
      </w:r>
      <w:r w:rsidRPr="007D46E4">
        <w:rPr>
          <w:sz w:val="23"/>
          <w:szCs w:val="23"/>
        </w:rPr>
        <w:t xml:space="preserve"> Floor)  </w:t>
      </w:r>
      <w:r w:rsidRPr="007D46E4">
        <w:rPr>
          <w:sz w:val="23"/>
          <w:szCs w:val="23"/>
        </w:rPr>
        <w:tab/>
        <w:t>(4</w:t>
      </w:r>
      <w:r w:rsidRPr="007D46E4">
        <w:rPr>
          <w:sz w:val="23"/>
          <w:szCs w:val="23"/>
          <w:vertAlign w:val="superscript"/>
        </w:rPr>
        <w:t>th</w:t>
      </w:r>
      <w:r w:rsidRPr="007D46E4">
        <w:rPr>
          <w:sz w:val="23"/>
          <w:szCs w:val="23"/>
        </w:rPr>
        <w:t xml:space="preserve"> Floor SOS Conference</w:t>
      </w:r>
      <w:r w:rsidR="007D46E4" w:rsidRPr="007D46E4">
        <w:rPr>
          <w:sz w:val="23"/>
          <w:szCs w:val="23"/>
        </w:rPr>
        <w:t xml:space="preserve"> </w:t>
      </w:r>
      <w:r w:rsidRPr="007D46E4">
        <w:rPr>
          <w:sz w:val="23"/>
          <w:szCs w:val="23"/>
        </w:rPr>
        <w:t>Room)</w:t>
      </w:r>
    </w:p>
    <w:p w:rsidR="00584565" w:rsidRPr="007D46E4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* * * * * * * * * * * * * * * * * * * * * * * * * * * * * * * * * * * * * * * * * * * * * * ***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I.</w:t>
      </w: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  <w:t>Call to Order and Period for Silent Meditation</w:t>
      </w:r>
    </w:p>
    <w:p w:rsidR="00F66B39" w:rsidRPr="0037194B" w:rsidRDefault="00F66B39" w:rsidP="00F66B39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37194B">
        <w:rPr>
          <w:spacing w:val="-3"/>
          <w:sz w:val="23"/>
          <w:szCs w:val="23"/>
        </w:rPr>
        <w:t>Commission Roll Call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II.</w:t>
      </w: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  <w:t xml:space="preserve">Approval of Minutes 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</w: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Expressions from Members of the Public Present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Chairperson’s Report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Freedom of Information Act (FOIA) Compliance Training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Commissioner County Fellowship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Analysis of Impediments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Sub Committee Strategies for 2014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Source of Income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Death Penalty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50 Year Anniversary Civil Rights  Act of 1964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Committee  Assignments (including Chairs)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 xml:space="preserve">Purpose of Committees 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Commission / Division Retreat</w:t>
      </w:r>
    </w:p>
    <w:p w:rsidR="0037194B" w:rsidRPr="0037194B" w:rsidRDefault="0037194B" w:rsidP="0037194B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37194B">
        <w:rPr>
          <w:color w:val="000000" w:themeColor="text1"/>
          <w:sz w:val="23"/>
          <w:szCs w:val="23"/>
        </w:rPr>
        <w:t>Fair Housing Mini-Conferences</w:t>
      </w:r>
    </w:p>
    <w:p w:rsidR="00F66B39" w:rsidRPr="007D46E4" w:rsidRDefault="00F66B39" w:rsidP="00F66B39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Director’s Report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Committee Reports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Public Awareness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Legislative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Community Response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Governor’s Council on Equal Employment Opportunity Committee</w:t>
      </w:r>
    </w:p>
    <w:p w:rsidR="00F66B39" w:rsidRPr="007D46E4" w:rsidRDefault="00F66B39" w:rsidP="00F66B39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 xml:space="preserve">Old Business </w:t>
      </w:r>
    </w:p>
    <w:p w:rsidR="00F66B39" w:rsidRPr="007D46E4" w:rsidRDefault="00F66B39" w:rsidP="00F66B39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New Business</w:t>
      </w:r>
    </w:p>
    <w:p w:rsidR="00F66B39" w:rsidRPr="007D46E4" w:rsidRDefault="00F66B39" w:rsidP="00F66B39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ab/>
      </w:r>
    </w:p>
    <w:p w:rsidR="002E71DC" w:rsidRPr="007D46E4" w:rsidRDefault="00F66B39" w:rsidP="0037194B">
      <w:pPr>
        <w:tabs>
          <w:tab w:val="left" w:pos="0"/>
          <w:tab w:val="left" w:pos="1440"/>
        </w:tabs>
        <w:suppressAutoHyphens/>
        <w:ind w:left="1440" w:hanging="1440"/>
        <w:jc w:val="both"/>
        <w:rPr>
          <w:sz w:val="23"/>
          <w:szCs w:val="23"/>
        </w:rPr>
      </w:pPr>
      <w:r w:rsidRPr="007D46E4">
        <w:rPr>
          <w:b/>
          <w:sz w:val="23"/>
          <w:szCs w:val="23"/>
        </w:rPr>
        <w:t>IX.</w:t>
      </w:r>
      <w:r w:rsidRPr="007D46E4">
        <w:rPr>
          <w:b/>
          <w:sz w:val="23"/>
          <w:szCs w:val="23"/>
        </w:rPr>
        <w:tab/>
        <w:t>Adjournment</w:t>
      </w:r>
    </w:p>
    <w:sectPr w:rsidR="002E71DC" w:rsidRPr="007D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C47724"/>
    <w:multiLevelType w:val="hybridMultilevel"/>
    <w:tmpl w:val="C05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17B2F"/>
    <w:multiLevelType w:val="hybridMultilevel"/>
    <w:tmpl w:val="3A147E1E"/>
    <w:lvl w:ilvl="0" w:tplc="04090003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8"/>
    </w:lvlOverride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37194B"/>
    <w:rsid w:val="00544AF7"/>
    <w:rsid w:val="00576B34"/>
    <w:rsid w:val="00584565"/>
    <w:rsid w:val="00695676"/>
    <w:rsid w:val="007D46E4"/>
    <w:rsid w:val="00AD0635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2014-04-23T18:07:00Z</dcterms:created>
  <dcterms:modified xsi:type="dcterms:W3CDTF">2014-04-23T18:07:00Z</dcterms:modified>
</cp:coreProperties>
</file>