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9D6204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March</w:t>
      </w:r>
      <w:r w:rsidR="00B016EA">
        <w:rPr>
          <w:b/>
          <w:sz w:val="32"/>
        </w:rPr>
        <w:t xml:space="preserve"> 12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Commission Bylaws Update</w:t>
      </w:r>
    </w:p>
    <w:p w:rsidR="00105978" w:rsidRPr="00105978" w:rsidRDefault="00105978" w:rsidP="00105978">
      <w:pPr>
        <w:pStyle w:val="ListParagraph"/>
        <w:ind w:left="2160"/>
        <w:rPr>
          <w:spacing w:val="-3"/>
          <w:sz w:val="24"/>
        </w:rPr>
      </w:pPr>
      <w:r w:rsidRPr="00105978">
        <w:rPr>
          <w:spacing w:val="-3"/>
          <w:sz w:val="24"/>
        </w:rPr>
        <w:t xml:space="preserve">                        Absences</w:t>
      </w:r>
    </w:p>
    <w:p w:rsidR="00105978" w:rsidRPr="00105978" w:rsidRDefault="00105978" w:rsidP="00105978">
      <w:pPr>
        <w:pStyle w:val="ListParagraph"/>
        <w:ind w:left="2160"/>
        <w:rPr>
          <w:spacing w:val="-3"/>
          <w:sz w:val="24"/>
        </w:rPr>
      </w:pPr>
      <w:r w:rsidRPr="00105978">
        <w:rPr>
          <w:spacing w:val="-3"/>
          <w:sz w:val="24"/>
        </w:rPr>
        <w:t xml:space="preserve">                       Sub Committee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Black History Month</w:t>
      </w:r>
    </w:p>
    <w:p w:rsidR="00105978" w:rsidRPr="00105978" w:rsidRDefault="00105978" w:rsidP="00105978">
      <w:pPr>
        <w:ind w:left="2520" w:firstLine="360"/>
        <w:rPr>
          <w:spacing w:val="-3"/>
          <w:sz w:val="24"/>
        </w:rPr>
      </w:pPr>
      <w:bookmarkStart w:id="0" w:name="_GoBack"/>
      <w:bookmarkEnd w:id="0"/>
      <w:r w:rsidRPr="00105978">
        <w:rPr>
          <w:spacing w:val="-3"/>
          <w:sz w:val="24"/>
        </w:rPr>
        <w:t xml:space="preserve"> </w:t>
      </w:r>
      <w:r w:rsidRPr="00105978">
        <w:rPr>
          <w:spacing w:val="-3"/>
          <w:sz w:val="24"/>
        </w:rPr>
        <w:t xml:space="preserve">          Fair Housing Month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Analysis of Impediments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Freedom of Information Act Training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Other Commission Training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Commission Vacancies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Dover Human Relations Commission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Office of Civil Rights and Public Trust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Selma</w:t>
      </w:r>
    </w:p>
    <w:p w:rsidR="00105978" w:rsidRPr="00105978" w:rsidRDefault="00105978" w:rsidP="00105978">
      <w:pPr>
        <w:pStyle w:val="ListParagraph"/>
        <w:numPr>
          <w:ilvl w:val="0"/>
          <w:numId w:val="15"/>
        </w:numPr>
        <w:rPr>
          <w:spacing w:val="-3"/>
          <w:sz w:val="24"/>
        </w:rPr>
      </w:pPr>
      <w:r w:rsidRPr="00105978">
        <w:rPr>
          <w:spacing w:val="-3"/>
          <w:sz w:val="24"/>
        </w:rPr>
        <w:t>Death Penalty</w:t>
      </w:r>
    </w:p>
    <w:p w:rsidR="00105978" w:rsidRPr="00105978" w:rsidRDefault="00105978" w:rsidP="00105978">
      <w:pPr>
        <w:tabs>
          <w:tab w:val="left" w:pos="-720"/>
        </w:tabs>
        <w:suppressAutoHyphens/>
        <w:ind w:left="1440"/>
        <w:jc w:val="both"/>
        <w:rPr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Legislative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lastRenderedPageBreak/>
        <w:t>Community Response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Governor’s Council on Equal Employment Opportunity Committee (potential action/vote on matters discussed during Committee meeting)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105978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F17707"/>
    <w:multiLevelType w:val="hybridMultilevel"/>
    <w:tmpl w:val="15549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8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05978"/>
    <w:rsid w:val="002F58CA"/>
    <w:rsid w:val="00576B34"/>
    <w:rsid w:val="00584565"/>
    <w:rsid w:val="006C2204"/>
    <w:rsid w:val="00892686"/>
    <w:rsid w:val="009D6204"/>
    <w:rsid w:val="00AD0635"/>
    <w:rsid w:val="00B016EA"/>
    <w:rsid w:val="00B160CB"/>
    <w:rsid w:val="00D65CE9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2015-02-26T18:21:00Z</dcterms:created>
  <dcterms:modified xsi:type="dcterms:W3CDTF">2015-02-26T18:21:00Z</dcterms:modified>
</cp:coreProperties>
</file>