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CD" w:rsidRDefault="004D4ECD" w:rsidP="004D4E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-800100</wp:posOffset>
                </wp:positionV>
                <wp:extent cx="1554480" cy="12534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CD" w:rsidRDefault="004D4ECD" w:rsidP="004D4E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2A686" wp14:editId="429B62BB">
                                  <wp:extent cx="1371600" cy="1162050"/>
                                  <wp:effectExtent l="0" t="0" r="0" b="0"/>
                                  <wp:docPr id="2" name="Picture 2" descr="DESEA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EA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5pt;margin-top:-63pt;width:122.4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" stroked="f">
                <v:textbox>
                  <w:txbxContent>
                    <w:p w:rsidR="004D4ECD" w:rsidRDefault="004D4ECD" w:rsidP="004D4E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62A686" wp14:editId="429B62BB">
                            <wp:extent cx="1371600" cy="1162050"/>
                            <wp:effectExtent l="0" t="0" r="0" b="0"/>
                            <wp:docPr id="2" name="Picture 2" descr="DESEA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EA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4ECD" w:rsidRDefault="004D4ECD" w:rsidP="004D4ECD">
      <w:pPr>
        <w:jc w:val="right"/>
        <w:rPr>
          <w:color w:val="333399"/>
          <w:sz w:val="16"/>
        </w:rPr>
      </w:pPr>
    </w:p>
    <w:p w:rsidR="004D4ECD" w:rsidRDefault="004D4ECD" w:rsidP="004D4ECD">
      <w:pPr>
        <w:jc w:val="right"/>
        <w:rPr>
          <w:color w:val="333399"/>
          <w:sz w:val="16"/>
        </w:rPr>
      </w:pPr>
    </w:p>
    <w:p w:rsidR="004D4ECD" w:rsidRDefault="004D4ECD" w:rsidP="004D4ECD">
      <w:pPr>
        <w:jc w:val="right"/>
        <w:rPr>
          <w:color w:val="333399"/>
          <w:sz w:val="16"/>
        </w:rPr>
      </w:pPr>
    </w:p>
    <w:p w:rsidR="004D4ECD" w:rsidRDefault="004D4ECD" w:rsidP="004D4ECD">
      <w:pPr>
        <w:jc w:val="right"/>
        <w:rPr>
          <w:color w:val="333399"/>
          <w:sz w:val="16"/>
        </w:rPr>
      </w:pPr>
    </w:p>
    <w:p w:rsidR="004D4ECD" w:rsidRDefault="004D4ECD" w:rsidP="004D4ECD">
      <w:pPr>
        <w:jc w:val="right"/>
        <w:rPr>
          <w:color w:val="333399"/>
          <w:sz w:val="16"/>
        </w:rPr>
      </w:pPr>
    </w:p>
    <w:p w:rsidR="004D4ECD" w:rsidRDefault="004D4ECD" w:rsidP="004D4ECD">
      <w:pPr>
        <w:jc w:val="right"/>
        <w:rPr>
          <w:color w:val="333399"/>
          <w:sz w:val="16"/>
        </w:rPr>
      </w:pPr>
    </w:p>
    <w:p w:rsidR="004D4ECD" w:rsidRDefault="004D4ECD" w:rsidP="004D4ECD">
      <w:pPr>
        <w:jc w:val="right"/>
        <w:rPr>
          <w:color w:val="333399"/>
          <w:sz w:val="16"/>
        </w:rPr>
      </w:pPr>
      <w:r>
        <w:rPr>
          <w:color w:val="333399"/>
          <w:sz w:val="16"/>
        </w:rPr>
        <w:t>Telephone: (302) 577-5030</w:t>
      </w:r>
    </w:p>
    <w:p w:rsidR="004D4ECD" w:rsidRDefault="004D4ECD" w:rsidP="004D4ECD">
      <w:pPr>
        <w:jc w:val="right"/>
        <w:rPr>
          <w:color w:val="333399"/>
          <w:sz w:val="16"/>
        </w:rPr>
      </w:pPr>
      <w:r>
        <w:rPr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1252855</wp:posOffset>
                </wp:positionV>
                <wp:extent cx="1714500" cy="102870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CD" w:rsidRDefault="004D4ECD" w:rsidP="004D4ECD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>STATE OF DELAWARE</w:t>
                            </w:r>
                          </w:p>
                          <w:p w:rsidR="004D4ECD" w:rsidRDefault="004D4ECD" w:rsidP="004D4E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>EXECUTIVE DEPARTMENT</w:t>
                            </w:r>
                          </w:p>
                          <w:p w:rsidR="004D4ECD" w:rsidRDefault="004D4ECD" w:rsidP="004D4E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  <w:t>CRIMINAL JUSTICE COUNCIL</w:t>
                            </w:r>
                          </w:p>
                          <w:p w:rsidR="004D4ECD" w:rsidRDefault="004D4ECD" w:rsidP="004D4ECD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STATE OFFICE BUILDING –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 FLOOR</w:t>
                            </w:r>
                            <w:proofErr w:type="gramEnd"/>
                          </w:p>
                          <w:p w:rsidR="004D4ECD" w:rsidRDefault="004D4ECD" w:rsidP="004D4ECD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>820 FRENCH STREET</w:t>
                            </w:r>
                          </w:p>
                          <w:p w:rsidR="004D4ECD" w:rsidRDefault="004D4ECD" w:rsidP="004D4EC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>WILMINGTON, DELAWARE 19801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3pt;margin-top:98.6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" stroked="f">
                <v:textbox>
                  <w:txbxContent>
                    <w:p w:rsidR="004D4ECD" w:rsidRDefault="004D4ECD" w:rsidP="004D4ECD">
                      <w:pPr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>STATE OF DELAWARE</w:t>
                      </w:r>
                    </w:p>
                    <w:p w:rsidR="004D4ECD" w:rsidRDefault="004D4ECD" w:rsidP="004D4ECD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>EXECUTIVE DEPARTMENT</w:t>
                      </w:r>
                    </w:p>
                    <w:p w:rsidR="004D4ECD" w:rsidRDefault="004D4ECD" w:rsidP="004D4ECD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8"/>
                        </w:rPr>
                        <w:t>CRIMINAL JUSTICE COUNCIL</w:t>
                      </w:r>
                    </w:p>
                    <w:p w:rsidR="004D4ECD" w:rsidRDefault="004D4ECD" w:rsidP="004D4ECD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STATE OFFICE BUILDING – </w:t>
                      </w:r>
                      <w:proofErr w:type="gramStart"/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>10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 FLOOR</w:t>
                      </w:r>
                      <w:proofErr w:type="gramEnd"/>
                    </w:p>
                    <w:p w:rsidR="004D4ECD" w:rsidRDefault="004D4ECD" w:rsidP="004D4ECD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>820 FRENCH STREET</w:t>
                      </w:r>
                    </w:p>
                    <w:p w:rsidR="004D4ECD" w:rsidRDefault="004D4ECD" w:rsidP="004D4EC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>WILMINGTON, DELAWARE 19801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color w:val="333399"/>
          <w:sz w:val="16"/>
        </w:rPr>
        <w:t>Fax: (302) 577-3440</w:t>
      </w:r>
    </w:p>
    <w:p w:rsidR="004D4ECD" w:rsidRDefault="004D4ECD" w:rsidP="004D4ECD">
      <w:pPr>
        <w:jc w:val="center"/>
        <w:rPr>
          <w:color w:val="333399"/>
          <w:sz w:val="16"/>
        </w:rPr>
      </w:pPr>
    </w:p>
    <w:p w:rsidR="004D4ECD" w:rsidRDefault="004D4ECD" w:rsidP="004D4ECD">
      <w:pPr>
        <w:jc w:val="center"/>
        <w:rPr>
          <w:color w:val="333399"/>
          <w:sz w:val="16"/>
        </w:rPr>
      </w:pPr>
    </w:p>
    <w:p w:rsidR="004D4ECD" w:rsidRDefault="004D4ECD" w:rsidP="004D4ECD">
      <w:pPr>
        <w:jc w:val="center"/>
        <w:rPr>
          <w:rFonts w:ascii="Arial" w:hAnsi="Arial" w:cs="Arial"/>
          <w:sz w:val="22"/>
        </w:rPr>
      </w:pPr>
    </w:p>
    <w:p w:rsidR="004D4ECD" w:rsidRDefault="004D4ECD" w:rsidP="004D4ECD">
      <w:pPr>
        <w:jc w:val="center"/>
      </w:pPr>
      <w:r>
        <w:t xml:space="preserve">APPROVED </w:t>
      </w:r>
      <w:proofErr w:type="gramStart"/>
      <w:r>
        <w:t>--  September</w:t>
      </w:r>
      <w:proofErr w:type="gramEnd"/>
      <w:r>
        <w:t xml:space="preserve"> 19, 2016</w:t>
      </w:r>
    </w:p>
    <w:p w:rsidR="004D4ECD" w:rsidRDefault="004D4ECD" w:rsidP="004D4ECD">
      <w:pPr>
        <w:jc w:val="center"/>
      </w:pPr>
      <w:r>
        <w:t>Criminal Justice Council Summary Minutes</w:t>
      </w:r>
    </w:p>
    <w:p w:rsidR="004D4ECD" w:rsidRDefault="004D4ECD" w:rsidP="004D4ECD">
      <w:pPr>
        <w:jc w:val="center"/>
      </w:pPr>
      <w:r>
        <w:t xml:space="preserve">Monday, June 20, </w:t>
      </w:r>
      <w:proofErr w:type="gramStart"/>
      <w:r>
        <w:t>2016  -</w:t>
      </w:r>
      <w:proofErr w:type="gramEnd"/>
      <w:r>
        <w:t xml:space="preserve">  2:30 p.m.</w:t>
      </w:r>
    </w:p>
    <w:p w:rsidR="004D4ECD" w:rsidRDefault="004D4ECD" w:rsidP="004D4ECD">
      <w:pPr>
        <w:jc w:val="center"/>
      </w:pPr>
      <w:r>
        <w:t xml:space="preserve">DE State Police Troop </w:t>
      </w:r>
      <w:proofErr w:type="gramStart"/>
      <w:r>
        <w:t>3  -</w:t>
      </w:r>
      <w:proofErr w:type="gramEnd"/>
      <w:r>
        <w:t xml:space="preserve">  3759 South State Street  -  Camden, DE  19934</w:t>
      </w:r>
    </w:p>
    <w:p w:rsidR="004D4ECD" w:rsidRDefault="004D4ECD" w:rsidP="004D4ECD"/>
    <w:p w:rsidR="004D4ECD" w:rsidRDefault="004D4ECD" w:rsidP="004D4ECD"/>
    <w:p w:rsidR="004D4ECD" w:rsidRDefault="004D4ECD" w:rsidP="004D4ECD">
      <w:r>
        <w:rPr>
          <w:b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Members Absent</w:t>
      </w:r>
    </w:p>
    <w:p w:rsidR="004D4ECD" w:rsidRDefault="004D4ECD" w:rsidP="004D4ECD">
      <w:r>
        <w:t>James Liguori, Esq., Chair</w:t>
      </w:r>
      <w:r>
        <w:tab/>
      </w:r>
      <w:r>
        <w:tab/>
      </w:r>
      <w:r>
        <w:tab/>
      </w:r>
      <w:r>
        <w:tab/>
      </w:r>
      <w:r>
        <w:tab/>
        <w:t>Michael Arrington, Esq</w:t>
      </w:r>
    </w:p>
    <w:p w:rsidR="004D4ECD" w:rsidRDefault="004D4ECD" w:rsidP="004D4ECD">
      <w:proofErr w:type="spellStart"/>
      <w:r>
        <w:t>Carlyse</w:t>
      </w:r>
      <w:proofErr w:type="spellEnd"/>
      <w:r>
        <w:t xml:space="preserve"> </w:t>
      </w:r>
      <w:proofErr w:type="spellStart"/>
      <w:r>
        <w:t>Giddins</w:t>
      </w:r>
      <w:proofErr w:type="spellEnd"/>
      <w:r>
        <w:t>, Vice Chair</w:t>
      </w:r>
      <w:r>
        <w:tab/>
      </w:r>
      <w:r>
        <w:tab/>
      </w:r>
      <w:r>
        <w:tab/>
      </w:r>
      <w:r>
        <w:tab/>
      </w:r>
      <w:r>
        <w:tab/>
        <w:t>Hon. James Collins</w:t>
      </w:r>
    </w:p>
    <w:p w:rsidR="004D4ECD" w:rsidRDefault="004D4ECD" w:rsidP="004D4ECD">
      <w:r>
        <w:t>Chief William Bryson</w:t>
      </w:r>
      <w:r>
        <w:tab/>
      </w:r>
      <w:r>
        <w:tab/>
      </w:r>
      <w:r>
        <w:tab/>
      </w:r>
      <w:r>
        <w:tab/>
      </w:r>
      <w:r>
        <w:tab/>
      </w:r>
      <w:r>
        <w:tab/>
        <w:t>Hon. Rita Landgraf (Jay Lynch)</w:t>
      </w:r>
    </w:p>
    <w:p w:rsidR="004D4ECD" w:rsidRDefault="004D4ECD" w:rsidP="004D4ECD">
      <w:r>
        <w:t>Hon. Alan Davis</w:t>
      </w:r>
      <w:r>
        <w:tab/>
      </w:r>
      <w:r>
        <w:tab/>
      </w:r>
      <w:r>
        <w:tab/>
      </w:r>
      <w:r>
        <w:tab/>
      </w:r>
      <w:r>
        <w:tab/>
      </w:r>
      <w:r>
        <w:tab/>
        <w:t>Hon. Robert Coupe</w:t>
      </w:r>
    </w:p>
    <w:p w:rsidR="004D4ECD" w:rsidRDefault="004D4ECD" w:rsidP="004D4ECD">
      <w:r>
        <w:t>Nancy Dietz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Bobby Cummings</w:t>
      </w:r>
    </w:p>
    <w:p w:rsidR="004D4ECD" w:rsidRDefault="004D4ECD" w:rsidP="004D4ECD">
      <w:r>
        <w:t>Pastor Donald Dunnigan</w:t>
      </w:r>
      <w:r>
        <w:tab/>
      </w:r>
      <w:r>
        <w:tab/>
      </w:r>
      <w:r>
        <w:tab/>
      </w:r>
      <w:r>
        <w:tab/>
      </w:r>
      <w:r>
        <w:tab/>
        <w:t>Hon. Patrice Gilliam-Johnson</w:t>
      </w:r>
    </w:p>
    <w:p w:rsidR="004D4ECD" w:rsidRDefault="004D4ECD" w:rsidP="004D4ECD">
      <w:r>
        <w:t>Hon. Carla Benson-Green</w:t>
      </w:r>
      <w:r>
        <w:tab/>
      </w:r>
      <w:r>
        <w:tab/>
      </w:r>
      <w:r>
        <w:tab/>
      </w:r>
      <w:r>
        <w:tab/>
      </w:r>
      <w:r>
        <w:tab/>
        <w:t>Hon. Michael Wolf</w:t>
      </w:r>
    </w:p>
    <w:p w:rsidR="004D4ECD" w:rsidRDefault="004D4ECD" w:rsidP="004D4ECD">
      <w:r>
        <w:t>David Henderson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ECD" w:rsidRDefault="004D4ECD" w:rsidP="004D4ECD">
      <w:r>
        <w:t>Hon. Christopher Klein</w:t>
      </w:r>
      <w:r>
        <w:tab/>
      </w:r>
      <w:r>
        <w:tab/>
      </w:r>
      <w:r>
        <w:tab/>
      </w:r>
      <w:r>
        <w:tab/>
      </w:r>
      <w:r>
        <w:tab/>
      </w:r>
    </w:p>
    <w:p w:rsidR="004D4ECD" w:rsidRDefault="004D4ECD" w:rsidP="004D4ECD">
      <w:r>
        <w:t>Col. Nathaniel McQueen</w:t>
      </w:r>
      <w:r>
        <w:tab/>
      </w:r>
      <w:r>
        <w:tab/>
      </w:r>
      <w:r>
        <w:tab/>
      </w:r>
      <w:r>
        <w:tab/>
      </w:r>
    </w:p>
    <w:p w:rsidR="004D4ECD" w:rsidRDefault="004D4ECD" w:rsidP="004D4ECD">
      <w:r>
        <w:t>Hon. Alex Smalls</w:t>
      </w:r>
    </w:p>
    <w:p w:rsidR="004D4ECD" w:rsidRDefault="004D4ECD" w:rsidP="004D4ECD">
      <w:r>
        <w:t>Steve Welch, Esq, proxy for Hon. Matthew Denn</w:t>
      </w:r>
    </w:p>
    <w:p w:rsidR="004D4ECD" w:rsidRDefault="004D4ECD" w:rsidP="004D4ECD">
      <w:r>
        <w:t>John Sadowski, proxy for Dr. Steven Godowsky</w:t>
      </w:r>
    </w:p>
    <w:p w:rsidR="004D4ECD" w:rsidRDefault="004D4ECD" w:rsidP="004D4ECD">
      <w:r>
        <w:t>Kimberly Chandler, proxy for James Mosley</w:t>
      </w:r>
    </w:p>
    <w:p w:rsidR="004D4ECD" w:rsidRDefault="004D4ECD" w:rsidP="004D4ECD">
      <w:r>
        <w:t>Proxy for Hon. Brendan O’Neill</w:t>
      </w:r>
    </w:p>
    <w:p w:rsidR="004D4ECD" w:rsidRDefault="004D4ECD" w:rsidP="004D4ECD">
      <w:r>
        <w:t xml:space="preserve">Linda Carmichael, proxy for Hon. Jan Jurden  </w:t>
      </w:r>
      <w:r>
        <w:tab/>
      </w:r>
    </w:p>
    <w:p w:rsidR="004D4ECD" w:rsidRDefault="004D4ECD" w:rsidP="004D4ECD">
      <w:r>
        <w:t xml:space="preserve">Wendi </w:t>
      </w:r>
      <w:proofErr w:type="spellStart"/>
      <w:r>
        <w:t>Freeser</w:t>
      </w:r>
      <w:proofErr w:type="spellEnd"/>
      <w:r>
        <w:t>, proxy for Chief Elmer Setting</w:t>
      </w:r>
    </w:p>
    <w:p w:rsidR="004D4ECD" w:rsidRDefault="004D4ECD" w:rsidP="004D4ECD">
      <w:r>
        <w:t>Hon. James Vaughn, proxy for Hon. Leo Strine</w:t>
      </w:r>
      <w:r>
        <w:tab/>
      </w:r>
    </w:p>
    <w:p w:rsidR="004D4ECD" w:rsidRDefault="004D4ECD" w:rsidP="004D4ECD">
      <w:pPr>
        <w:rPr>
          <w:color w:val="FF0000"/>
        </w:rPr>
      </w:pPr>
      <w:r>
        <w:t xml:space="preserve">Addie Asay, proxy for Hon. Michael Newell  </w:t>
      </w:r>
    </w:p>
    <w:p w:rsidR="004D4ECD" w:rsidRDefault="004D4ECD" w:rsidP="004D4ECD"/>
    <w:p w:rsidR="004D4ECD" w:rsidRDefault="004D4ECD" w:rsidP="004D4ECD">
      <w:r>
        <w:t>The meeting was called to order and the May 16, 2016 minutes were approved by voice vote.</w:t>
      </w:r>
    </w:p>
    <w:p w:rsidR="004D4ECD" w:rsidRDefault="004D4ECD" w:rsidP="004D4ECD"/>
    <w:p w:rsidR="004D4ECD" w:rsidRDefault="004D4ECD" w:rsidP="004D4ECD"/>
    <w:p w:rsidR="004D4ECD" w:rsidRDefault="004D4ECD" w:rsidP="004D4ECD">
      <w:r>
        <w:rPr>
          <w:b/>
        </w:rPr>
        <w:t>Federal Funding</w:t>
      </w:r>
    </w:p>
    <w:p w:rsidR="004D4ECD" w:rsidRDefault="004D4ECD" w:rsidP="004D4ECD">
      <w:pPr>
        <w:tabs>
          <w:tab w:val="left" w:pos="270"/>
        </w:tabs>
        <w:ind w:left="270" w:hanging="270"/>
      </w:pPr>
      <w:r>
        <w:t>A.</w:t>
      </w:r>
      <w:r>
        <w:tab/>
      </w:r>
      <w:proofErr w:type="spellStart"/>
      <w:r>
        <w:rPr>
          <w:u w:val="single"/>
        </w:rPr>
        <w:t>FY2015</w:t>
      </w:r>
      <w:proofErr w:type="spellEnd"/>
      <w:r>
        <w:rPr>
          <w:u w:val="single"/>
        </w:rPr>
        <w:t xml:space="preserve"> Title II Formula Black Grant ($393,667</w:t>
      </w:r>
      <w:proofErr w:type="gramStart"/>
      <w:r>
        <w:rPr>
          <w:u w:val="single"/>
        </w:rPr>
        <w:t>)</w:t>
      </w:r>
      <w:r>
        <w:t xml:space="preserve">  -</w:t>
      </w:r>
      <w:proofErr w:type="gramEnd"/>
      <w:r>
        <w:t xml:space="preserve">  Terica Jones presented the Juvenile Justice Advisory Group recommendations for program allocations.  The applicant agency programs </w:t>
      </w:r>
      <w:proofErr w:type="spellStart"/>
      <w:r>
        <w:t>JJAG</w:t>
      </w:r>
      <w:proofErr w:type="spellEnd"/>
      <w:r>
        <w:t xml:space="preserve"> recommended were Big Brothers/Sisters of DE; PAL of Wilmington; YMCA of DE (2 programs); and CHILD, Inc.  She stated that $3,411 for delinquency prevention will be determined.  Council approved by super majority vote.</w:t>
      </w:r>
    </w:p>
    <w:p w:rsidR="004D4ECD" w:rsidRDefault="004D4ECD" w:rsidP="004D4ECD">
      <w:pPr>
        <w:tabs>
          <w:tab w:val="left" w:pos="270"/>
        </w:tabs>
        <w:ind w:left="270" w:hanging="270"/>
      </w:pPr>
    </w:p>
    <w:p w:rsidR="004D4ECD" w:rsidRDefault="004D4ECD" w:rsidP="004D4ECD">
      <w:pPr>
        <w:tabs>
          <w:tab w:val="left" w:pos="270"/>
        </w:tabs>
        <w:ind w:left="270" w:hanging="270"/>
      </w:pPr>
      <w:r>
        <w:lastRenderedPageBreak/>
        <w:t>B.</w:t>
      </w:r>
      <w:r>
        <w:tab/>
      </w:r>
      <w:proofErr w:type="spellStart"/>
      <w:r>
        <w:rPr>
          <w:u w:val="single"/>
        </w:rPr>
        <w:t>FFY2015</w:t>
      </w:r>
      <w:proofErr w:type="spellEnd"/>
      <w:r>
        <w:rPr>
          <w:u w:val="single"/>
        </w:rPr>
        <w:t xml:space="preserve"> Sexual Assault Services Program (</w:t>
      </w:r>
      <w:proofErr w:type="spellStart"/>
      <w:r>
        <w:rPr>
          <w:u w:val="single"/>
        </w:rPr>
        <w:t>SASP</w:t>
      </w:r>
      <w:proofErr w:type="spellEnd"/>
      <w:r>
        <w:rPr>
          <w:u w:val="single"/>
        </w:rPr>
        <w:t>) ($301,886</w:t>
      </w:r>
      <w:proofErr w:type="gramStart"/>
      <w:r>
        <w:rPr>
          <w:u w:val="single"/>
        </w:rPr>
        <w:t>)</w:t>
      </w:r>
      <w:r>
        <w:t xml:space="preserve">  -</w:t>
      </w:r>
      <w:proofErr w:type="gramEnd"/>
      <w:r>
        <w:t xml:space="preserve">  Maureen Monagle stated that $301,886 reflects a 10.6% increase from the previous year, and that the funds support rape crisis services and short-term supportive services for victims of sexual assault.  She then presented the </w:t>
      </w:r>
      <w:proofErr w:type="spellStart"/>
      <w:r>
        <w:t>VAWA</w:t>
      </w:r>
      <w:proofErr w:type="spellEnd"/>
      <w:r>
        <w:t xml:space="preserve"> Implementation Committee’s recommendations for funding.  The applicant agency programs </w:t>
      </w:r>
      <w:proofErr w:type="spellStart"/>
      <w:r>
        <w:t>VAWAIC</w:t>
      </w:r>
      <w:proofErr w:type="spellEnd"/>
      <w:r>
        <w:t xml:space="preserve"> recommended were YWCA of DE, Inc. and </w:t>
      </w:r>
      <w:proofErr w:type="spellStart"/>
      <w:r>
        <w:t>ContactLifeline</w:t>
      </w:r>
      <w:proofErr w:type="spellEnd"/>
      <w:r>
        <w:t>, Inc.  Council approved by super majority vote.</w:t>
      </w:r>
    </w:p>
    <w:p w:rsidR="004D4ECD" w:rsidRDefault="004D4ECD" w:rsidP="004D4ECD">
      <w:pPr>
        <w:tabs>
          <w:tab w:val="left" w:pos="270"/>
        </w:tabs>
        <w:ind w:left="270" w:hanging="270"/>
      </w:pPr>
    </w:p>
    <w:p w:rsidR="004D4ECD" w:rsidRDefault="004D4ECD" w:rsidP="004D4ECD">
      <w:pPr>
        <w:tabs>
          <w:tab w:val="left" w:pos="270"/>
        </w:tabs>
        <w:ind w:left="270" w:hanging="270"/>
      </w:pPr>
    </w:p>
    <w:p w:rsidR="004D4ECD" w:rsidRDefault="004D4ECD" w:rsidP="004D4ECD">
      <w:pPr>
        <w:tabs>
          <w:tab w:val="left" w:pos="270"/>
        </w:tabs>
        <w:ind w:left="270" w:hanging="270"/>
        <w:rPr>
          <w:b/>
        </w:rPr>
      </w:pPr>
      <w:r>
        <w:rPr>
          <w:b/>
        </w:rPr>
        <w:t>Presentation</w:t>
      </w:r>
    </w:p>
    <w:p w:rsidR="004D4ECD" w:rsidRDefault="004D4ECD" w:rsidP="004D4ECD">
      <w:pPr>
        <w:tabs>
          <w:tab w:val="left" w:pos="270"/>
        </w:tabs>
        <w:ind w:left="270" w:hanging="270"/>
      </w:pPr>
      <w:r>
        <w:rPr>
          <w:b/>
        </w:rPr>
        <w:tab/>
      </w:r>
      <w:r>
        <w:t>Effects of Marijuana Legalization – Jeffrey Horvath, Executive Director, Police Chiefs’ Council</w:t>
      </w:r>
    </w:p>
    <w:p w:rsidR="004D4ECD" w:rsidRDefault="004D4ECD" w:rsidP="004D4ECD">
      <w:pPr>
        <w:tabs>
          <w:tab w:val="left" w:pos="270"/>
        </w:tabs>
        <w:ind w:left="270" w:hanging="270"/>
      </w:pPr>
      <w:r>
        <w:tab/>
        <w:t>Some highlights of the presentation included: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  <w:t>-</w:t>
      </w:r>
      <w:r>
        <w:tab/>
        <w:t xml:space="preserve">In the first year of legalization in Colorado, marijuana related traffic deaths increased 62 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</w:r>
      <w:r>
        <w:tab/>
      </w:r>
      <w:proofErr w:type="gramStart"/>
      <w:r>
        <w:t>percent</w:t>
      </w:r>
      <w:proofErr w:type="gramEnd"/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  <w:t>-</w:t>
      </w:r>
      <w:r>
        <w:tab/>
        <w:t>There are 300 types of edible marijuana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  <w:t>-</w:t>
      </w:r>
      <w:r>
        <w:tab/>
        <w:t>Huge amounts of water and energy are used to grow marijuana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  <w:t>-</w:t>
      </w:r>
      <w:r>
        <w:tab/>
        <w:t xml:space="preserve">Since legalization in Colorado, youth (12-17) use is 74% higher than national average; 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</w:r>
      <w:r>
        <w:tab/>
      </w:r>
      <w:proofErr w:type="gramStart"/>
      <w:r>
        <w:t>in</w:t>
      </w:r>
      <w:proofErr w:type="gramEnd"/>
      <w:r>
        <w:t xml:space="preserve"> adults (18-25) marijuana ranks number one in the nation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  <w:t>-</w:t>
      </w:r>
      <w:r>
        <w:tab/>
        <w:t>There has been an increase in organized networks of sophisticated residential growth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</w:r>
      <w:r>
        <w:tab/>
      </w:r>
      <w:proofErr w:type="gramStart"/>
      <w:r>
        <w:t>operated</w:t>
      </w:r>
      <w:proofErr w:type="gramEnd"/>
      <w:r>
        <w:t xml:space="preserve"> by </w:t>
      </w:r>
      <w:proofErr w:type="spellStart"/>
      <w:r>
        <w:t>durg</w:t>
      </w:r>
      <w:proofErr w:type="spellEnd"/>
      <w:r>
        <w:t xml:space="preserve"> trafficking organizations</w:t>
      </w: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</w:p>
    <w:p w:rsidR="004D4ECD" w:rsidRDefault="004D4ECD" w:rsidP="004D4ECD">
      <w:pPr>
        <w:tabs>
          <w:tab w:val="left" w:pos="270"/>
          <w:tab w:val="left" w:pos="630"/>
        </w:tabs>
        <w:ind w:left="270" w:hanging="270"/>
      </w:pPr>
      <w:r>
        <w:tab/>
      </w:r>
      <w:r>
        <w:rPr>
          <w:b/>
        </w:rPr>
        <w:t>Legislative Committee Report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</w:pPr>
      <w:r>
        <w:tab/>
        <w:t xml:space="preserve">Judge Alan Davis, CJC Legislative Committee Chair reported on criminal justice bills that have been deferred by the Council for a future meeting and bills that are being reviewed by the Council for the first time: 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</w:pP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tab/>
      </w:r>
      <w:r>
        <w:rPr>
          <w:b/>
          <w:sz w:val="18"/>
          <w:szCs w:val="18"/>
        </w:rPr>
        <w:t>Bill</w:t>
      </w:r>
      <w:r>
        <w:rPr>
          <w:b/>
          <w:sz w:val="18"/>
          <w:szCs w:val="18"/>
        </w:rPr>
        <w:tab/>
        <w:t>Legislative Committee Recommendation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Council Recommendation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1</w:t>
      </w:r>
      <w:r>
        <w:rPr>
          <w:sz w:val="18"/>
          <w:szCs w:val="18"/>
        </w:rPr>
        <w:tab/>
        <w:t xml:space="preserve">   No further development on Bill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37</w:t>
      </w:r>
      <w:r>
        <w:rPr>
          <w:sz w:val="18"/>
          <w:szCs w:val="18"/>
        </w:rPr>
        <w:tab/>
        <w:t xml:space="preserve">   No new development on Bill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62</w:t>
      </w:r>
      <w:r>
        <w:rPr>
          <w:sz w:val="18"/>
          <w:szCs w:val="18"/>
        </w:rPr>
        <w:tab/>
        <w:t xml:space="preserve">   No additional comments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141</w:t>
      </w:r>
      <w:r>
        <w:rPr>
          <w:sz w:val="18"/>
          <w:szCs w:val="18"/>
        </w:rPr>
        <w:tab/>
        <w:t xml:space="preserve">   No additional comments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195</w:t>
      </w:r>
      <w:r>
        <w:rPr>
          <w:sz w:val="18"/>
          <w:szCs w:val="18"/>
        </w:rPr>
        <w:tab/>
        <w:t xml:space="preserve">   Bill passed House of Rep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214</w:t>
      </w:r>
      <w:r>
        <w:rPr>
          <w:sz w:val="18"/>
          <w:szCs w:val="18"/>
        </w:rPr>
        <w:tab/>
        <w:t xml:space="preserve">   Bill passed the Senate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217</w:t>
      </w:r>
      <w:r>
        <w:rPr>
          <w:sz w:val="18"/>
          <w:szCs w:val="18"/>
        </w:rPr>
        <w:tab/>
        <w:t xml:space="preserve">   Bill passed House and Senate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285</w:t>
      </w:r>
      <w:r>
        <w:rPr>
          <w:sz w:val="18"/>
          <w:szCs w:val="18"/>
        </w:rPr>
        <w:tab/>
        <w:t xml:space="preserve">   Judges will address Bill at later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Tabled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313</w:t>
      </w:r>
      <w:r>
        <w:rPr>
          <w:sz w:val="18"/>
          <w:szCs w:val="18"/>
        </w:rPr>
        <w:tab/>
        <w:t xml:space="preserve">   Bill </w:t>
      </w:r>
      <w:proofErr w:type="gramStart"/>
      <w:r>
        <w:rPr>
          <w:sz w:val="18"/>
          <w:szCs w:val="18"/>
        </w:rPr>
        <w:t>passed  House</w:t>
      </w:r>
      <w:proofErr w:type="gramEnd"/>
      <w:r>
        <w:rPr>
          <w:sz w:val="18"/>
          <w:szCs w:val="18"/>
        </w:rPr>
        <w:t xml:space="preserve"> and Senate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HB 325</w:t>
      </w:r>
      <w:r>
        <w:rPr>
          <w:sz w:val="18"/>
          <w:szCs w:val="18"/>
        </w:rPr>
        <w:tab/>
        <w:t xml:space="preserve">   No recommendation – Bill passed House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No recommendation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>currently</w:t>
      </w:r>
      <w:proofErr w:type="gramEnd"/>
      <w:r>
        <w:rPr>
          <w:sz w:val="18"/>
          <w:szCs w:val="18"/>
        </w:rPr>
        <w:t xml:space="preserve"> on Senate floor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357</w:t>
      </w:r>
      <w:r>
        <w:rPr>
          <w:sz w:val="18"/>
          <w:szCs w:val="18"/>
        </w:rPr>
        <w:tab/>
        <w:t xml:space="preserve">   No position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No recommendation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386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Defer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388</w:t>
      </w:r>
      <w:r>
        <w:rPr>
          <w:sz w:val="18"/>
          <w:szCs w:val="18"/>
        </w:rPr>
        <w:tab/>
        <w:t xml:space="preserve">   Committee takes no position –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Support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 member supports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HB 405</w:t>
      </w:r>
      <w:r>
        <w:rPr>
          <w:sz w:val="18"/>
          <w:szCs w:val="18"/>
        </w:rPr>
        <w:tab/>
        <w:t xml:space="preserve">   Defer to Council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Support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410</w:t>
      </w:r>
      <w:r>
        <w:rPr>
          <w:sz w:val="18"/>
          <w:szCs w:val="18"/>
        </w:rPr>
        <w:tab/>
        <w:t xml:space="preserve">   Defer to Council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Defer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SS 1 for</w:t>
      </w:r>
      <w:r>
        <w:rPr>
          <w:sz w:val="18"/>
          <w:szCs w:val="18"/>
        </w:rPr>
        <w:tab/>
        <w:t xml:space="preserve">   Defer – amendment pending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Defer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 xml:space="preserve">  SB 134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147</w:t>
      </w:r>
      <w:r>
        <w:rPr>
          <w:sz w:val="18"/>
          <w:szCs w:val="18"/>
        </w:rPr>
        <w:tab/>
        <w:t xml:space="preserve">   No new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150</w:t>
      </w:r>
      <w:r>
        <w:rPr>
          <w:sz w:val="18"/>
          <w:szCs w:val="18"/>
        </w:rPr>
        <w:tab/>
        <w:t xml:space="preserve">   No new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182</w:t>
      </w:r>
      <w:r>
        <w:rPr>
          <w:sz w:val="18"/>
          <w:szCs w:val="18"/>
        </w:rPr>
        <w:tab/>
        <w:t xml:space="preserve">   No new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action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194</w:t>
      </w:r>
      <w:r>
        <w:rPr>
          <w:sz w:val="18"/>
          <w:szCs w:val="18"/>
        </w:rPr>
        <w:tab/>
        <w:t xml:space="preserve">   Bill tabled – unlikely to return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195</w:t>
      </w:r>
      <w:r>
        <w:rPr>
          <w:sz w:val="18"/>
          <w:szCs w:val="18"/>
        </w:rPr>
        <w:tab/>
        <w:t xml:space="preserve">   Bill tabled – unlikely to return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SB 196</w:t>
      </w:r>
      <w:r>
        <w:rPr>
          <w:sz w:val="18"/>
          <w:szCs w:val="18"/>
        </w:rPr>
        <w:tab/>
        <w:t xml:space="preserve">   Bill tables – unlikely to return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198</w:t>
      </w:r>
      <w:r>
        <w:rPr>
          <w:sz w:val="18"/>
          <w:szCs w:val="18"/>
        </w:rPr>
        <w:tab/>
        <w:t xml:space="preserve">   Defer to Council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Support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263</w:t>
      </w:r>
      <w:r>
        <w:rPr>
          <w:sz w:val="18"/>
          <w:szCs w:val="18"/>
        </w:rPr>
        <w:tab/>
        <w:t xml:space="preserve">   Defer to Council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Defer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271</w:t>
      </w:r>
      <w:r>
        <w:rPr>
          <w:sz w:val="18"/>
          <w:szCs w:val="18"/>
        </w:rPr>
        <w:tab/>
        <w:t xml:space="preserve">   No position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No position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  <w:t>SB 279</w:t>
      </w:r>
      <w:r>
        <w:rPr>
          <w:sz w:val="18"/>
          <w:szCs w:val="18"/>
        </w:rPr>
        <w:tab/>
        <w:t xml:space="preserve">   Defer – Bill no moving forward until all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>Defer</w:t>
      </w:r>
      <w:proofErr w:type="gramEnd"/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Interested parties meet</w:t>
      </w: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</w:p>
    <w:p w:rsidR="004D4ECD" w:rsidRDefault="004D4ECD" w:rsidP="004D4ECD">
      <w:pPr>
        <w:tabs>
          <w:tab w:val="left" w:pos="270"/>
          <w:tab w:val="left" w:pos="540"/>
        </w:tabs>
        <w:ind w:left="540" w:hanging="270"/>
        <w:rPr>
          <w:sz w:val="18"/>
          <w:szCs w:val="18"/>
        </w:rPr>
      </w:pPr>
    </w:p>
    <w:p w:rsidR="004D4ECD" w:rsidRDefault="004D4ECD" w:rsidP="004D4ECD">
      <w:pPr>
        <w:tabs>
          <w:tab w:val="left" w:pos="270"/>
          <w:tab w:val="left" w:pos="540"/>
        </w:tabs>
      </w:pPr>
      <w:r>
        <w:rPr>
          <w:b/>
        </w:rPr>
        <w:t>Statistical Analysis Center Director’s Report</w:t>
      </w:r>
    </w:p>
    <w:p w:rsidR="004D4ECD" w:rsidRDefault="004D4ECD" w:rsidP="004D4ECD">
      <w:pPr>
        <w:tabs>
          <w:tab w:val="left" w:pos="270"/>
          <w:tab w:val="left" w:pos="540"/>
        </w:tabs>
        <w:ind w:left="270"/>
      </w:pPr>
      <w:r>
        <w:t xml:space="preserve">Thomas MacLeish, Director, </w:t>
      </w:r>
      <w:proofErr w:type="gramStart"/>
      <w:r>
        <w:t>provided  2011</w:t>
      </w:r>
      <w:proofErr w:type="gramEnd"/>
      <w:r>
        <w:t>-2016 (as of June 15</w:t>
      </w:r>
      <w:r>
        <w:rPr>
          <w:vertAlign w:val="superscript"/>
        </w:rPr>
        <w:t>th</w:t>
      </w:r>
      <w:r>
        <w:t xml:space="preserve"> ) charts reflecting criminal shooting incidents resulting in injuries. He stated that 2015 and 2016 counts reflect preliminary data and may be higher.  He also provided the following handouts:  a year-to-date criminal shooting incident chart through May 31</w:t>
      </w:r>
      <w:r>
        <w:rPr>
          <w:vertAlign w:val="superscript"/>
        </w:rPr>
        <w:t>st</w:t>
      </w:r>
      <w:r>
        <w:t xml:space="preserve"> in all of Delaware and for the City of Wilmington; and, total homicide incidents per year (2006-2015) in all of Delaware and for the City of Wilmington.  </w:t>
      </w:r>
    </w:p>
    <w:p w:rsidR="004D4ECD" w:rsidRDefault="004D4ECD" w:rsidP="004D4ECD">
      <w:pPr>
        <w:tabs>
          <w:tab w:val="left" w:pos="270"/>
          <w:tab w:val="left" w:pos="540"/>
        </w:tabs>
        <w:rPr>
          <w:b/>
        </w:rPr>
      </w:pPr>
    </w:p>
    <w:p w:rsidR="004D4ECD" w:rsidRDefault="004D4ECD" w:rsidP="004D4ECD">
      <w:pPr>
        <w:tabs>
          <w:tab w:val="left" w:pos="270"/>
          <w:tab w:val="left" w:pos="540"/>
        </w:tabs>
        <w:rPr>
          <w:b/>
        </w:rPr>
      </w:pPr>
    </w:p>
    <w:p w:rsidR="004D4ECD" w:rsidRDefault="004D4ECD" w:rsidP="004D4ECD">
      <w:pPr>
        <w:tabs>
          <w:tab w:val="left" w:pos="270"/>
          <w:tab w:val="left" w:pos="540"/>
        </w:tabs>
      </w:pPr>
      <w:r>
        <w:rPr>
          <w:b/>
        </w:rPr>
        <w:t>Executive Director’s Report</w:t>
      </w:r>
    </w:p>
    <w:p w:rsidR="004D4ECD" w:rsidRDefault="004D4ECD" w:rsidP="004D4ECD">
      <w:pPr>
        <w:tabs>
          <w:tab w:val="left" w:pos="270"/>
          <w:tab w:val="left" w:pos="540"/>
        </w:tabs>
        <w:ind w:left="270"/>
      </w:pPr>
      <w:r>
        <w:t>Chris Kervick gave the revised schedule for Council’s upcoming public hearings:  June 22</w:t>
      </w:r>
      <w:r>
        <w:rPr>
          <w:vertAlign w:val="superscript"/>
        </w:rPr>
        <w:t>nd</w:t>
      </w:r>
      <w:r>
        <w:t xml:space="preserve"> (Georgetown Library);  June 28</w:t>
      </w:r>
      <w:r>
        <w:rPr>
          <w:vertAlign w:val="superscript"/>
        </w:rPr>
        <w:t>th</w:t>
      </w:r>
      <w:r>
        <w:t xml:space="preserve"> (Dover Police Assembly Room);   June 29</w:t>
      </w:r>
      <w:r>
        <w:rPr>
          <w:vertAlign w:val="superscript"/>
        </w:rPr>
        <w:t>th</w:t>
      </w:r>
      <w:r>
        <w:t xml:space="preserve"> (Rose Hill Community Center);   July 7</w:t>
      </w:r>
      <w:r>
        <w:rPr>
          <w:vertAlign w:val="superscript"/>
        </w:rPr>
        <w:t>th</w:t>
      </w:r>
      <w:r>
        <w:t xml:space="preserve"> (HOPE Commission Achievement Center), and the time will be 6:00 pm to 8:00 pm.; he also gave and update of federal funding; and also stated that the </w:t>
      </w:r>
      <w:proofErr w:type="spellStart"/>
      <w:r>
        <w:t>NCJP</w:t>
      </w:r>
      <w:proofErr w:type="spellEnd"/>
      <w:r>
        <w:t xml:space="preserve"> Center for Justice Planning is hosting a series of regional meetings focusing on pretrial reform and he , along with other staff, attended the regional meeting in Baltimore, MD.</w:t>
      </w:r>
    </w:p>
    <w:p w:rsidR="004D4ECD" w:rsidRDefault="004D4ECD" w:rsidP="004D4ECD">
      <w:pPr>
        <w:tabs>
          <w:tab w:val="left" w:pos="270"/>
          <w:tab w:val="left" w:pos="540"/>
        </w:tabs>
      </w:pPr>
    </w:p>
    <w:p w:rsidR="004D4ECD" w:rsidRDefault="004D4ECD" w:rsidP="004D4ECD">
      <w:pPr>
        <w:tabs>
          <w:tab w:val="left" w:pos="270"/>
          <w:tab w:val="left" w:pos="540"/>
        </w:tabs>
      </w:pPr>
    </w:p>
    <w:p w:rsidR="004D4ECD" w:rsidRDefault="004D4ECD" w:rsidP="004D4ECD">
      <w:pPr>
        <w:tabs>
          <w:tab w:val="left" w:pos="270"/>
          <w:tab w:val="left" w:pos="540"/>
        </w:tabs>
      </w:pPr>
      <w:r>
        <w:t>Meeting adjourned</w:t>
      </w:r>
    </w:p>
    <w:p w:rsidR="004D4ECD" w:rsidRDefault="004D4ECD" w:rsidP="004D4ECD">
      <w:pPr>
        <w:tabs>
          <w:tab w:val="left" w:pos="270"/>
          <w:tab w:val="left" w:pos="540"/>
        </w:tabs>
      </w:pPr>
    </w:p>
    <w:p w:rsidR="004D4ECD" w:rsidRDefault="004D4ECD" w:rsidP="004D4ECD">
      <w:pPr>
        <w:tabs>
          <w:tab w:val="left" w:pos="270"/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4D4ECD" w:rsidRDefault="004D4ECD" w:rsidP="004D4ECD">
      <w:pPr>
        <w:tabs>
          <w:tab w:val="left" w:pos="270"/>
          <w:tab w:val="left" w:pos="540"/>
        </w:tabs>
      </w:pPr>
    </w:p>
    <w:p w:rsidR="004D4ECD" w:rsidRPr="00B70848" w:rsidRDefault="004D4ECD" w:rsidP="004D4ECD">
      <w:pPr>
        <w:tabs>
          <w:tab w:val="left" w:pos="270"/>
          <w:tab w:val="left" w:pos="540"/>
        </w:tabs>
        <w:rPr>
          <w:rFonts w:ascii="Segoe Script" w:hAnsi="Segoe Script"/>
          <w:i/>
          <w:color w:val="548DD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0848">
        <w:rPr>
          <w:rFonts w:ascii="Segoe Script" w:hAnsi="Segoe Script"/>
          <w:i/>
          <w:color w:val="548DD4"/>
        </w:rPr>
        <w:t>Jacqui Thornton</w:t>
      </w:r>
    </w:p>
    <w:p w:rsidR="004D4ECD" w:rsidRDefault="004D4ECD" w:rsidP="004D4ECD">
      <w:pPr>
        <w:tabs>
          <w:tab w:val="left" w:pos="270"/>
          <w:tab w:val="left" w:pos="540"/>
        </w:tabs>
        <w:rPr>
          <w:rFonts w:ascii="Arial" w:hAnsi="Arial"/>
        </w:rPr>
      </w:pPr>
    </w:p>
    <w:p w:rsidR="004D4ECD" w:rsidRDefault="004D4ECD" w:rsidP="004D4ECD">
      <w:pPr>
        <w:tabs>
          <w:tab w:val="left" w:pos="270"/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Jacqui Thornton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4ECD" w:rsidRDefault="004D4ECD" w:rsidP="004D4ECD"/>
    <w:p w:rsidR="004D4ECD" w:rsidRDefault="004D4ECD" w:rsidP="004D4ECD">
      <w:pPr>
        <w:jc w:val="center"/>
        <w:rPr>
          <w:rFonts w:ascii="Arial" w:hAnsi="Arial" w:cs="Arial"/>
          <w:sz w:val="22"/>
        </w:rPr>
      </w:pPr>
    </w:p>
    <w:p w:rsidR="00C212F5" w:rsidRDefault="00C212F5">
      <w:bookmarkStart w:id="0" w:name="_GoBack"/>
      <w:bookmarkEnd w:id="0"/>
    </w:p>
    <w:sectPr w:rsidR="00C212F5"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CD"/>
    <w:rsid w:val="004D4ECD"/>
    <w:rsid w:val="00C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Jacqui (CJC)</dc:creator>
  <cp:lastModifiedBy>Thornton Jacqui (CJC)</cp:lastModifiedBy>
  <cp:revision>1</cp:revision>
  <dcterms:created xsi:type="dcterms:W3CDTF">2016-09-21T18:10:00Z</dcterms:created>
  <dcterms:modified xsi:type="dcterms:W3CDTF">2016-09-21T18:11:00Z</dcterms:modified>
</cp:coreProperties>
</file>